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0DE0E" w14:textId="3EF9D5B6" w:rsidR="00CE2B8A" w:rsidRPr="00023831" w:rsidRDefault="003406CC" w:rsidP="00CE2B8A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 w:rsidRPr="00023831">
        <w:rPr>
          <w:rFonts w:ascii="Century" w:hAnsi="Century"/>
          <w:lang w:val="uk-UA" w:eastAsia="uk-UA"/>
        </w:rPr>
        <w:drawing>
          <wp:inline distT="0" distB="0" distL="0" distR="0" wp14:anchorId="3C477E16" wp14:editId="36C1AC4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3A284" w14:textId="77777777" w:rsidR="00CE2B8A" w:rsidRPr="00023831" w:rsidRDefault="00CE2B8A" w:rsidP="00CE2B8A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  <w:lang w:val="uk-UA"/>
        </w:rPr>
      </w:pPr>
      <w:r w:rsidRPr="00023831">
        <w:rPr>
          <w:rFonts w:ascii="Century" w:hAnsi="Century"/>
          <w:sz w:val="32"/>
          <w:szCs w:val="32"/>
          <w:lang w:val="uk-UA"/>
        </w:rPr>
        <w:t>УКРАЇНА</w:t>
      </w:r>
    </w:p>
    <w:p w14:paraId="3ECE7D4B" w14:textId="77777777" w:rsidR="00CE2B8A" w:rsidRPr="00023831" w:rsidRDefault="00CE2B8A" w:rsidP="00CE2B8A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  <w:lang w:val="uk-UA"/>
        </w:rPr>
      </w:pPr>
      <w:r w:rsidRPr="00023831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2A969D6" w14:textId="77777777" w:rsidR="00CE2B8A" w:rsidRPr="00023831" w:rsidRDefault="00CE2B8A" w:rsidP="00CE2B8A">
      <w:pPr>
        <w:pStyle w:val="tc2"/>
        <w:shd w:val="clear" w:color="auto" w:fill="FFFFFF"/>
        <w:spacing w:line="276" w:lineRule="auto"/>
        <w:rPr>
          <w:rFonts w:ascii="Century" w:hAnsi="Century"/>
          <w:sz w:val="32"/>
          <w:lang w:val="uk-UA"/>
        </w:rPr>
      </w:pPr>
      <w:r w:rsidRPr="00023831">
        <w:rPr>
          <w:rFonts w:ascii="Century" w:hAnsi="Century"/>
          <w:sz w:val="32"/>
          <w:lang w:val="uk-UA"/>
        </w:rPr>
        <w:t>ЛЬВІВСЬКОЇ ОБЛАСТІ</w:t>
      </w:r>
    </w:p>
    <w:p w14:paraId="084DE414" w14:textId="77777777" w:rsidR="00CE2B8A" w:rsidRPr="00023831" w:rsidRDefault="00CE2B8A" w:rsidP="00CE2B8A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 xml:space="preserve">3 </w:t>
      </w:r>
      <w:r w:rsidRPr="00023831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F33829F" w14:textId="77777777" w:rsidR="00CE2B8A" w:rsidRPr="00023831" w:rsidRDefault="00CE2B8A" w:rsidP="00CE2B8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6626DFCE" w14:textId="15EE69D6" w:rsidR="00CE2B8A" w:rsidRPr="00023831" w:rsidRDefault="00CE2B8A" w:rsidP="00CE2B8A">
      <w:pPr>
        <w:spacing w:after="0" w:line="240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023831">
        <w:rPr>
          <w:rFonts w:ascii="Century" w:hAnsi="Century"/>
          <w:b/>
          <w:sz w:val="36"/>
          <w:szCs w:val="36"/>
          <w:lang w:val="uk-UA"/>
        </w:rPr>
        <w:t xml:space="preserve">РІШЕННЯ № </w:t>
      </w:r>
      <w:r w:rsidR="00354178" w:rsidRPr="00023831">
        <w:rPr>
          <w:rFonts w:ascii="Century" w:hAnsi="Century"/>
          <w:bCs/>
          <w:sz w:val="36"/>
          <w:szCs w:val="36"/>
          <w:lang w:val="uk-UA"/>
        </w:rPr>
        <w:t xml:space="preserve"> </w:t>
      </w:r>
    </w:p>
    <w:p w14:paraId="7C64DE10" w14:textId="6DAD7199" w:rsidR="00CE2B8A" w:rsidRPr="00023831" w:rsidRDefault="00CE2B8A" w:rsidP="00CE2B8A">
      <w:pPr>
        <w:spacing w:after="0" w:line="240" w:lineRule="auto"/>
        <w:jc w:val="center"/>
        <w:rPr>
          <w:rFonts w:ascii="Century" w:hAnsi="Century"/>
          <w:sz w:val="28"/>
          <w:szCs w:val="32"/>
          <w:lang w:val="uk-UA"/>
        </w:rPr>
      </w:pPr>
      <w:r w:rsidRPr="00023831">
        <w:rPr>
          <w:rFonts w:ascii="Century" w:hAnsi="Century"/>
          <w:sz w:val="28"/>
          <w:szCs w:val="32"/>
          <w:lang w:val="uk-UA"/>
        </w:rPr>
        <w:t xml:space="preserve">від </w:t>
      </w:r>
      <w:r w:rsidR="00354178" w:rsidRPr="00023831">
        <w:rPr>
          <w:rFonts w:ascii="Century" w:hAnsi="Century"/>
          <w:sz w:val="28"/>
          <w:szCs w:val="32"/>
          <w:lang w:val="uk-UA"/>
        </w:rPr>
        <w:t>25</w:t>
      </w:r>
      <w:r w:rsidRPr="00023831">
        <w:rPr>
          <w:rFonts w:ascii="Century" w:hAnsi="Century"/>
          <w:sz w:val="28"/>
          <w:szCs w:val="32"/>
          <w:lang w:val="uk-UA"/>
        </w:rPr>
        <w:t xml:space="preserve"> </w:t>
      </w:r>
      <w:r w:rsidR="00354178" w:rsidRPr="00023831">
        <w:rPr>
          <w:rFonts w:ascii="Century" w:hAnsi="Century"/>
          <w:sz w:val="28"/>
          <w:szCs w:val="32"/>
          <w:lang w:val="uk-UA"/>
        </w:rPr>
        <w:t>квітня</w:t>
      </w:r>
      <w:r w:rsidRPr="00023831">
        <w:rPr>
          <w:rFonts w:ascii="Century" w:hAnsi="Century"/>
          <w:sz w:val="28"/>
          <w:szCs w:val="32"/>
          <w:lang w:val="uk-UA"/>
        </w:rPr>
        <w:t xml:space="preserve"> 2021 року</w:t>
      </w:r>
    </w:p>
    <w:p w14:paraId="0A8619A6" w14:textId="22769E3A" w:rsidR="00496557" w:rsidRPr="00023831" w:rsidRDefault="00496557">
      <w:pPr>
        <w:spacing w:after="0"/>
        <w:jc w:val="both"/>
        <w:rPr>
          <w:rFonts w:ascii="Century" w:hAnsi="Century" w:cs="Times New Roman"/>
          <w:sz w:val="32"/>
          <w:szCs w:val="32"/>
          <w:lang w:val="uk-UA"/>
        </w:rPr>
      </w:pPr>
    </w:p>
    <w:p w14:paraId="5592AA94" w14:textId="45F4E36C" w:rsidR="00496557" w:rsidRPr="00023831" w:rsidRDefault="00496557" w:rsidP="00CE2B8A">
      <w:pPr>
        <w:spacing w:after="0"/>
        <w:ind w:right="3968"/>
        <w:rPr>
          <w:rFonts w:ascii="Century" w:hAnsi="Century"/>
          <w:lang w:val="uk-UA"/>
        </w:rPr>
      </w:pP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Про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зміну засновника, </w:t>
      </w:r>
      <w:r w:rsidR="00667D7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назви 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комунального підприємства  «Городоцьк</w:t>
      </w:r>
      <w:r w:rsidR="00667D71">
        <w:rPr>
          <w:rFonts w:ascii="Century" w:hAnsi="Century" w:cs="Times New Roman"/>
          <w:b/>
          <w:bCs/>
          <w:sz w:val="28"/>
          <w:szCs w:val="28"/>
          <w:lang w:val="uk-UA"/>
        </w:rPr>
        <w:t>е архітектурно-планувальне бюро»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та 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з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атвердження </w:t>
      </w:r>
      <w:r w:rsid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його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Статуту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</w:p>
    <w:p w14:paraId="76A6CF39" w14:textId="2472B86B" w:rsidR="00496557" w:rsidRPr="00023831" w:rsidRDefault="00496557">
      <w:pPr>
        <w:spacing w:after="0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6019AC19" w14:textId="77777777" w:rsidR="00CE2B8A" w:rsidRPr="00023831" w:rsidRDefault="00CE2B8A">
      <w:pPr>
        <w:spacing w:after="0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61E64C72" w14:textId="6530A9CE" w:rsidR="00496557" w:rsidRPr="00023831" w:rsidRDefault="00496557">
      <w:pPr>
        <w:spacing w:after="0" w:line="240" w:lineRule="auto"/>
        <w:ind w:firstLine="879"/>
        <w:jc w:val="both"/>
        <w:rPr>
          <w:rFonts w:ascii="Century" w:hAnsi="Century" w:cs="Times New Roman"/>
          <w:color w:val="FF0000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У відповідності до рішення сесії Львівської районної ради</w:t>
      </w:r>
      <w:r w:rsidR="00023831">
        <w:rPr>
          <w:rFonts w:ascii="Century" w:hAnsi="Century" w:cs="Times New Roman"/>
          <w:sz w:val="28"/>
          <w:szCs w:val="28"/>
          <w:lang w:val="uk-UA"/>
        </w:rPr>
        <w:t xml:space="preserve"> Львівської області від 30.12.2020 </w:t>
      </w:r>
      <w:r w:rsidRPr="00023831">
        <w:rPr>
          <w:rFonts w:ascii="Century" w:hAnsi="Century" w:cs="Times New Roman"/>
          <w:sz w:val="28"/>
          <w:szCs w:val="28"/>
          <w:lang w:val="uk-UA"/>
        </w:rPr>
        <w:t>№34 «Про вихід районної ради зі складу засновника комунального підприємства</w:t>
      </w:r>
      <w:r w:rsidR="00354178" w:rsidRPr="00023831">
        <w:rPr>
          <w:rFonts w:ascii="Century" w:hAnsi="Century" w:cs="Times New Roman"/>
          <w:sz w:val="28"/>
          <w:szCs w:val="28"/>
          <w:lang w:val="uk-UA"/>
        </w:rPr>
        <w:t>»</w:t>
      </w:r>
      <w:r w:rsidRPr="00023831">
        <w:rPr>
          <w:rFonts w:ascii="Century" w:hAnsi="Century" w:cs="Times New Roman"/>
          <w:sz w:val="28"/>
          <w:szCs w:val="28"/>
          <w:lang w:val="uk-UA"/>
        </w:rPr>
        <w:t xml:space="preserve"> , Постанови Верховної Ради України від 17.07.2020 </w:t>
      </w:r>
      <w:r w:rsidR="00023831">
        <w:rPr>
          <w:rFonts w:ascii="Century" w:hAnsi="Century" w:cs="Times New Roman"/>
          <w:sz w:val="28"/>
          <w:szCs w:val="28"/>
          <w:lang w:val="uk-UA"/>
        </w:rPr>
        <w:t>№</w:t>
      </w:r>
      <w:r w:rsidRPr="00023831">
        <w:rPr>
          <w:rFonts w:ascii="Century" w:hAnsi="Century" w:cs="Times New Roman"/>
          <w:sz w:val="28"/>
          <w:szCs w:val="28"/>
          <w:lang w:val="uk-UA"/>
        </w:rPr>
        <w:t>807-ІХ «Про утворення та ліквідацію районів», Закон</w:t>
      </w:r>
      <w:r w:rsidR="00023831">
        <w:rPr>
          <w:rFonts w:ascii="Century" w:hAnsi="Century" w:cs="Times New Roman"/>
          <w:sz w:val="28"/>
          <w:szCs w:val="28"/>
          <w:lang w:val="uk-UA"/>
        </w:rPr>
        <w:t xml:space="preserve">ів </w:t>
      </w:r>
      <w:r w:rsidRPr="00023831">
        <w:rPr>
          <w:rFonts w:ascii="Century" w:hAnsi="Century" w:cs="Times New Roman"/>
          <w:sz w:val="28"/>
          <w:szCs w:val="28"/>
          <w:lang w:val="uk-UA"/>
        </w:rPr>
        <w:t>У</w:t>
      </w:r>
      <w:r w:rsidR="0008315B" w:rsidRPr="00023831">
        <w:rPr>
          <w:rFonts w:ascii="Century" w:hAnsi="Century" w:cs="Times New Roman"/>
          <w:sz w:val="28"/>
          <w:szCs w:val="28"/>
          <w:lang w:val="uk-UA"/>
        </w:rPr>
        <w:t xml:space="preserve">країни </w:t>
      </w:r>
      <w:r w:rsidRPr="00023831">
        <w:rPr>
          <w:rFonts w:ascii="Century" w:hAnsi="Century" w:cs="Times New Roman"/>
          <w:sz w:val="28"/>
          <w:szCs w:val="28"/>
          <w:lang w:val="uk-UA"/>
        </w:rPr>
        <w:t xml:space="preserve">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адміністрацій»,  «Про державну реєстрацію юридичних осіб, фізичних осіб-підприємців та громадських формувань», </w:t>
      </w:r>
      <w:r w:rsidR="00023831" w:rsidRPr="00023831">
        <w:rPr>
          <w:rFonts w:ascii="Century" w:hAnsi="Century" w:cs="Times New Roman"/>
          <w:sz w:val="28"/>
          <w:szCs w:val="28"/>
          <w:lang w:val="uk-UA"/>
        </w:rPr>
        <w:t xml:space="preserve">«Про місцеве </w:t>
      </w:r>
      <w:r w:rsidR="00023831" w:rsidRPr="000E4CB8">
        <w:rPr>
          <w:rFonts w:ascii="Century" w:hAnsi="Century" w:cs="Times New Roman"/>
          <w:sz w:val="28"/>
          <w:szCs w:val="28"/>
          <w:lang w:val="uk-UA"/>
        </w:rPr>
        <w:t>самоврядування в Україні»,</w:t>
      </w:r>
      <w:r w:rsidR="000E4CB8" w:rsidRPr="000E4CB8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0E4CB8">
        <w:rPr>
          <w:rFonts w:ascii="Century" w:hAnsi="Century" w:cs="Times New Roman"/>
          <w:sz w:val="28"/>
          <w:szCs w:val="28"/>
          <w:lang w:val="uk-UA"/>
        </w:rPr>
        <w:t>ст. 36 КЗпП України, п. 39 розділу VI Бюджетного кодексу України,  міська рада</w:t>
      </w:r>
    </w:p>
    <w:p w14:paraId="1B9A4E84" w14:textId="77777777" w:rsidR="00CE2B8A" w:rsidRPr="00023831" w:rsidRDefault="00CE2B8A">
      <w:pPr>
        <w:spacing w:after="0" w:line="240" w:lineRule="auto"/>
        <w:ind w:firstLine="879"/>
        <w:jc w:val="both"/>
        <w:rPr>
          <w:rFonts w:ascii="Century" w:hAnsi="Century"/>
          <w:sz w:val="28"/>
          <w:szCs w:val="28"/>
          <w:lang w:val="uk-UA"/>
        </w:rPr>
      </w:pPr>
    </w:p>
    <w:p w14:paraId="76B4AF88" w14:textId="66359AEA" w:rsidR="009D2870" w:rsidRPr="00023831" w:rsidRDefault="00496557" w:rsidP="003C19B1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ВИРІШИЛА:</w:t>
      </w:r>
    </w:p>
    <w:p w14:paraId="22B60958" w14:textId="180399D3" w:rsidR="00023831" w:rsidRDefault="00023831" w:rsidP="0088649D">
      <w:pPr>
        <w:pStyle w:val="12"/>
        <w:spacing w:after="0" w:line="240" w:lineRule="auto"/>
        <w:ind w:left="0" w:firstLine="99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5D2079">
        <w:rPr>
          <w:rFonts w:ascii="Century" w:hAnsi="Century" w:cs="Times New Roman"/>
          <w:sz w:val="28"/>
          <w:szCs w:val="28"/>
          <w:lang w:val="uk-UA"/>
        </w:rPr>
        <w:t>1.</w:t>
      </w:r>
      <w:r w:rsidRPr="005D2079">
        <w:rPr>
          <w:rFonts w:ascii="Century" w:hAnsi="Century"/>
          <w:sz w:val="28"/>
          <w:szCs w:val="28"/>
          <w:lang w:val="uk-UA"/>
        </w:rPr>
        <w:t>Визнати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773AC">
        <w:rPr>
          <w:rFonts w:ascii="Century" w:hAnsi="Century" w:cs="Times New Roman"/>
          <w:sz w:val="28"/>
          <w:szCs w:val="28"/>
          <w:lang w:val="uk-UA"/>
        </w:rPr>
        <w:t xml:space="preserve">засновником </w:t>
      </w:r>
      <w:r w:rsidRPr="005D2079">
        <w:rPr>
          <w:rFonts w:ascii="Century" w:hAnsi="Century"/>
          <w:sz w:val="28"/>
          <w:szCs w:val="28"/>
          <w:lang w:val="uk-UA"/>
        </w:rPr>
        <w:t>Городоцьку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міську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, </w:t>
      </w:r>
      <w:r w:rsidRPr="005D2079">
        <w:rPr>
          <w:rFonts w:ascii="Century" w:hAnsi="Century"/>
          <w:sz w:val="28"/>
          <w:szCs w:val="28"/>
          <w:lang w:val="uk-UA"/>
        </w:rPr>
        <w:t>яка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є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правонаступником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переданого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районною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(</w:t>
      </w:r>
      <w:r w:rsidRPr="005D2079">
        <w:rPr>
          <w:rFonts w:ascii="Century" w:hAnsi="Century"/>
          <w:sz w:val="28"/>
          <w:szCs w:val="28"/>
          <w:lang w:val="uk-UA"/>
        </w:rPr>
        <w:t>правонаступник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Городоцької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районної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ради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>)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комунального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 </w:t>
      </w:r>
      <w:r w:rsidR="005D2079" w:rsidRPr="005D2079">
        <w:rPr>
          <w:rFonts w:ascii="Century" w:hAnsi="Century"/>
          <w:sz w:val="28"/>
          <w:szCs w:val="28"/>
          <w:lang w:val="uk-UA"/>
        </w:rPr>
        <w:t>підприємства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Городоцької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районної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ради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«</w:t>
      </w:r>
      <w:r w:rsidR="005D2079" w:rsidRPr="005D2079">
        <w:rPr>
          <w:rFonts w:ascii="Century" w:hAnsi="Century"/>
          <w:sz w:val="28"/>
          <w:szCs w:val="28"/>
          <w:lang w:val="uk-UA"/>
        </w:rPr>
        <w:t>Городоцьке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районне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архітектурно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-</w:t>
      </w:r>
      <w:r w:rsidR="005D2079" w:rsidRPr="005D2079">
        <w:rPr>
          <w:rFonts w:ascii="Century" w:hAnsi="Century"/>
          <w:sz w:val="28"/>
          <w:szCs w:val="28"/>
          <w:lang w:val="uk-UA"/>
        </w:rPr>
        <w:t>планувальне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бюро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»</w:t>
      </w:r>
      <w:r w:rsidR="005D2079" w:rsidRPr="005D2079">
        <w:rPr>
          <w:rFonts w:ascii="Century" w:hAnsi="Century"/>
          <w:sz w:val="28"/>
          <w:szCs w:val="28"/>
          <w:lang w:val="uk-UA"/>
        </w:rPr>
        <w:t xml:space="preserve"> (і</w:t>
      </w:r>
      <w:r w:rsidR="005D2079" w:rsidRPr="005D2079">
        <w:rPr>
          <w:rFonts w:ascii="Century" w:hAnsi="Century"/>
          <w:sz w:val="28"/>
          <w:szCs w:val="28"/>
          <w:lang w:val="uk-UA"/>
        </w:rPr>
        <w:t>дентифікаційний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код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юридичної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особи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33087502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) з його структурними підрозділами та майном</w:t>
      </w:r>
      <w:r w:rsidR="005D2079">
        <w:rPr>
          <w:rFonts w:ascii="Century" w:hAnsi="Century" w:cs="Times New Roman"/>
          <w:sz w:val="28"/>
          <w:szCs w:val="28"/>
          <w:lang w:val="uk-UA"/>
        </w:rPr>
        <w:t>,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яке знаходиться у нього на ба</w:t>
      </w:r>
      <w:r w:rsidR="005773AC">
        <w:rPr>
          <w:rFonts w:ascii="Century" w:hAnsi="Century" w:cs="Times New Roman"/>
          <w:sz w:val="28"/>
          <w:szCs w:val="28"/>
          <w:lang w:val="uk-UA"/>
        </w:rPr>
        <w:t>лансі станом на 31.12.2020 року.</w:t>
      </w:r>
      <w:r w:rsid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</w:p>
    <w:p w14:paraId="3D82BD70" w14:textId="77777777" w:rsidR="00667D71" w:rsidRDefault="005D2079" w:rsidP="00667D71">
      <w:pPr>
        <w:ind w:firstLine="993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lastRenderedPageBreak/>
        <w:t>2.</w:t>
      </w:r>
      <w:r w:rsidR="005773AC">
        <w:rPr>
          <w:rFonts w:ascii="Century" w:hAnsi="Century"/>
          <w:sz w:val="28"/>
          <w:szCs w:val="28"/>
          <w:lang w:val="uk-UA"/>
        </w:rPr>
        <w:t>За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мінити засновника </w:t>
      </w:r>
      <w:r w:rsidR="008D7B32" w:rsidRPr="005D2079">
        <w:rPr>
          <w:rFonts w:ascii="Century" w:hAnsi="Century"/>
          <w:color w:val="000000" w:themeColor="text1"/>
          <w:sz w:val="28"/>
          <w:szCs w:val="28"/>
          <w:lang w:val="uk-UA"/>
        </w:rPr>
        <w:t>комунального підприємства</w:t>
      </w:r>
      <w:r w:rsidR="008D7B32" w:rsidRPr="005D207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7B32" w:rsidRPr="005D2079">
        <w:rPr>
          <w:rFonts w:ascii="Century" w:hAnsi="Century"/>
          <w:sz w:val="28"/>
          <w:szCs w:val="28"/>
          <w:lang w:val="uk-UA"/>
        </w:rPr>
        <w:t>Городоцької районної ради «Городоцьке районне архітектурно-планувальне бюро» шляхом виключення із складу засновників Городоцьк</w:t>
      </w:r>
      <w:r w:rsidR="00667D71">
        <w:rPr>
          <w:rFonts w:ascii="Century" w:hAnsi="Century"/>
          <w:sz w:val="28"/>
          <w:szCs w:val="28"/>
          <w:lang w:val="uk-UA"/>
        </w:rPr>
        <w:t xml:space="preserve">у  </w:t>
      </w:r>
      <w:r w:rsidR="005773AC">
        <w:rPr>
          <w:rFonts w:ascii="Century" w:hAnsi="Century"/>
          <w:sz w:val="28"/>
          <w:szCs w:val="28"/>
          <w:lang w:val="uk-UA"/>
        </w:rPr>
        <w:t>районн</w:t>
      </w:r>
      <w:r w:rsidR="00667D71">
        <w:rPr>
          <w:rFonts w:ascii="Century" w:hAnsi="Century"/>
          <w:sz w:val="28"/>
          <w:szCs w:val="28"/>
          <w:lang w:val="uk-UA"/>
        </w:rPr>
        <w:t xml:space="preserve">у </w:t>
      </w:r>
      <w:r w:rsidR="005773AC">
        <w:rPr>
          <w:rFonts w:ascii="Century" w:hAnsi="Century"/>
          <w:sz w:val="28"/>
          <w:szCs w:val="28"/>
          <w:lang w:val="uk-UA"/>
        </w:rPr>
        <w:t>рад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5773AC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="008D7B32" w:rsidRPr="005D2079">
        <w:rPr>
          <w:rFonts w:ascii="Century" w:hAnsi="Century"/>
          <w:sz w:val="28"/>
          <w:szCs w:val="28"/>
          <w:lang w:val="uk-UA"/>
        </w:rPr>
        <w:t>(</w:t>
      </w:r>
      <w:r w:rsidR="005773AC" w:rsidRPr="005773AC">
        <w:rPr>
          <w:rFonts w:ascii="Century" w:hAnsi="Century"/>
          <w:sz w:val="28"/>
          <w:szCs w:val="28"/>
          <w:lang w:val="uk-UA"/>
        </w:rPr>
        <w:t>ідентифікаційний код юридичної особи</w:t>
      </w:r>
      <w:r w:rsidR="005773AC">
        <w:rPr>
          <w:rFonts w:ascii="Century" w:hAnsi="Century"/>
          <w:sz w:val="28"/>
          <w:szCs w:val="28"/>
          <w:lang w:val="uk-UA"/>
        </w:rPr>
        <w:t xml:space="preserve"> </w:t>
      </w:r>
      <w:r w:rsidR="007649AF" w:rsidRPr="005D2079">
        <w:rPr>
          <w:rFonts w:ascii="Century" w:hAnsi="Century"/>
          <w:sz w:val="28"/>
          <w:szCs w:val="28"/>
          <w:lang w:val="uk-UA"/>
        </w:rPr>
        <w:t>25553585</w:t>
      </w:r>
      <w:r w:rsidR="008D7B32" w:rsidRPr="005D2079">
        <w:rPr>
          <w:rFonts w:ascii="Century" w:hAnsi="Century"/>
          <w:sz w:val="28"/>
          <w:szCs w:val="28"/>
          <w:lang w:val="uk-UA"/>
        </w:rPr>
        <w:t>) та включ</w:t>
      </w:r>
      <w:r w:rsidR="00667D71">
        <w:rPr>
          <w:rFonts w:ascii="Century" w:hAnsi="Century"/>
          <w:sz w:val="28"/>
          <w:szCs w:val="28"/>
          <w:lang w:val="uk-UA"/>
        </w:rPr>
        <w:t xml:space="preserve">ення </w:t>
      </w:r>
      <w:r w:rsidR="00667D71">
        <w:rPr>
          <w:rFonts w:ascii="Century" w:hAnsi="Century"/>
          <w:sz w:val="28"/>
          <w:szCs w:val="28"/>
          <w:lang w:val="uk-UA"/>
        </w:rPr>
        <w:t>д</w:t>
      </w:r>
      <w:r w:rsidR="00667D71" w:rsidRPr="005D2079">
        <w:rPr>
          <w:rFonts w:ascii="Century" w:hAnsi="Century"/>
          <w:sz w:val="28"/>
          <w:szCs w:val="28"/>
          <w:lang w:val="uk-UA"/>
        </w:rPr>
        <w:t xml:space="preserve">о складу засновників </w:t>
      </w:r>
      <w:r w:rsidR="008D7B32" w:rsidRPr="005D2079">
        <w:rPr>
          <w:rFonts w:ascii="Century" w:hAnsi="Century"/>
          <w:sz w:val="28"/>
          <w:szCs w:val="28"/>
          <w:lang w:val="uk-UA"/>
        </w:rPr>
        <w:t>Городоцьк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  міськ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 рад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CD6D5C" w:rsidRPr="005D2079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="008D7B32" w:rsidRPr="005D2079">
        <w:rPr>
          <w:rFonts w:ascii="Century" w:hAnsi="Century"/>
          <w:sz w:val="28"/>
          <w:szCs w:val="28"/>
          <w:lang w:val="uk-UA"/>
        </w:rPr>
        <w:t>(</w:t>
      </w:r>
      <w:r w:rsidR="00667D71" w:rsidRPr="00667D71">
        <w:rPr>
          <w:rFonts w:ascii="Century" w:hAnsi="Century"/>
          <w:sz w:val="28"/>
          <w:szCs w:val="28"/>
          <w:lang w:val="uk-UA"/>
        </w:rPr>
        <w:t>ідентифікаційний код юридичної особи</w:t>
      </w:r>
      <w:r w:rsidR="00667D71">
        <w:rPr>
          <w:rFonts w:ascii="Century" w:hAnsi="Century"/>
          <w:sz w:val="28"/>
          <w:szCs w:val="28"/>
          <w:lang w:val="uk-UA"/>
        </w:rPr>
        <w:t xml:space="preserve"> </w:t>
      </w:r>
      <w:r w:rsidR="008D7B32" w:rsidRPr="005D2079">
        <w:rPr>
          <w:rFonts w:ascii="Century" w:hAnsi="Century"/>
          <w:sz w:val="28"/>
          <w:szCs w:val="28"/>
          <w:lang w:val="uk-UA"/>
        </w:rPr>
        <w:t>26269892)</w:t>
      </w:r>
      <w:r w:rsidR="00667D71">
        <w:rPr>
          <w:rFonts w:ascii="Century" w:hAnsi="Century"/>
          <w:sz w:val="28"/>
          <w:szCs w:val="28"/>
          <w:lang w:val="uk-UA"/>
        </w:rPr>
        <w:t xml:space="preserve">. </w:t>
      </w:r>
    </w:p>
    <w:p w14:paraId="2AE1FECD" w14:textId="152579BF" w:rsidR="008D7B32" w:rsidRPr="00023831" w:rsidRDefault="00EF45E1" w:rsidP="00667D71">
      <w:pPr>
        <w:ind w:firstLine="993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3.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Змінити назву комунального підприємства </w:t>
      </w:r>
      <w:r w:rsidR="00CD6D5C" w:rsidRPr="00023831">
        <w:rPr>
          <w:rFonts w:ascii="Century" w:hAnsi="Century"/>
          <w:sz w:val="28"/>
          <w:szCs w:val="28"/>
          <w:lang w:val="uk-UA"/>
        </w:rPr>
        <w:t xml:space="preserve"> Городоцької рай</w:t>
      </w:r>
      <w:r w:rsidR="008D7B32" w:rsidRPr="00023831">
        <w:rPr>
          <w:rFonts w:ascii="Century" w:hAnsi="Century"/>
          <w:sz w:val="28"/>
          <w:szCs w:val="28"/>
          <w:lang w:val="uk-UA"/>
        </w:rPr>
        <w:t>онної ради «Городоцьке районне архітектурно-планувальне бюро» на</w:t>
      </w:r>
      <w:r>
        <w:rPr>
          <w:rFonts w:ascii="Century" w:hAnsi="Century"/>
          <w:sz w:val="28"/>
          <w:szCs w:val="28"/>
          <w:lang w:val="uk-UA"/>
        </w:rPr>
        <w:t xml:space="preserve">: 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комунальне підприємство «Городоцьке архітектурно-планувальне бюро» </w:t>
      </w:r>
      <w:r w:rsidR="00C364F7" w:rsidRPr="00023831">
        <w:rPr>
          <w:rFonts w:ascii="Century" w:hAnsi="Century"/>
          <w:sz w:val="28"/>
          <w:szCs w:val="28"/>
          <w:lang w:val="uk-UA"/>
        </w:rPr>
        <w:t>Городоцької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 міської ради  </w:t>
      </w:r>
      <w:r w:rsidR="00C364F7" w:rsidRPr="00023831">
        <w:rPr>
          <w:rFonts w:ascii="Century" w:hAnsi="Century"/>
          <w:sz w:val="28"/>
          <w:szCs w:val="28"/>
          <w:lang w:val="uk-UA"/>
        </w:rPr>
        <w:t xml:space="preserve">Львівської 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 області (повне найменування українською мовою), КП «</w:t>
      </w:r>
      <w:r w:rsidR="00C364F7" w:rsidRPr="00023831">
        <w:rPr>
          <w:rFonts w:ascii="Century" w:hAnsi="Century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/>
          <w:sz w:val="28"/>
          <w:szCs w:val="28"/>
          <w:lang w:val="uk-UA"/>
        </w:rPr>
        <w:t>» (скорочене  н</w:t>
      </w:r>
      <w:r w:rsidR="00C364F7" w:rsidRPr="00023831">
        <w:rPr>
          <w:rFonts w:ascii="Century" w:hAnsi="Century"/>
          <w:sz w:val="28"/>
          <w:szCs w:val="28"/>
          <w:lang w:val="uk-UA"/>
        </w:rPr>
        <w:t>айменування українською мовою).</w:t>
      </w:r>
    </w:p>
    <w:p w14:paraId="7664542E" w14:textId="439FD53F" w:rsidR="008D7B32" w:rsidRPr="00EF45E1" w:rsidRDefault="00EF45E1" w:rsidP="00EF45E1">
      <w:pPr>
        <w:ind w:firstLine="993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4.</w:t>
      </w:r>
      <w:r w:rsidR="008D7B32" w:rsidRPr="00EF45E1">
        <w:rPr>
          <w:rFonts w:ascii="Century" w:hAnsi="Century"/>
          <w:sz w:val="28"/>
          <w:szCs w:val="28"/>
          <w:lang w:val="uk-UA"/>
        </w:rPr>
        <w:t>Комунальне підприємство «</w:t>
      </w:r>
      <w:r w:rsidR="00C364F7" w:rsidRPr="00EF45E1">
        <w:rPr>
          <w:rFonts w:ascii="Century" w:hAnsi="Century"/>
          <w:sz w:val="28"/>
          <w:szCs w:val="28"/>
          <w:lang w:val="uk-UA"/>
        </w:rPr>
        <w:t>Городоцьк</w:t>
      </w:r>
      <w:r w:rsidR="007649AF" w:rsidRPr="00EF45E1">
        <w:rPr>
          <w:rFonts w:ascii="Century" w:hAnsi="Century"/>
          <w:sz w:val="28"/>
          <w:szCs w:val="28"/>
          <w:lang w:val="uk-UA"/>
        </w:rPr>
        <w:t>е архітектурно-планувальне бюро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» </w:t>
      </w:r>
      <w:r w:rsidR="00C364F7" w:rsidRPr="00EF45E1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міської ради </w:t>
      </w:r>
      <w:r w:rsidR="00C364F7" w:rsidRPr="00EF45E1">
        <w:rPr>
          <w:rFonts w:ascii="Century" w:hAnsi="Century"/>
          <w:sz w:val="28"/>
          <w:szCs w:val="28"/>
          <w:lang w:val="uk-UA"/>
        </w:rPr>
        <w:t xml:space="preserve">Львівської 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області зареєструвати за адресою:  </w:t>
      </w:r>
      <w:r w:rsidR="00C364F7" w:rsidRPr="00EF45E1">
        <w:rPr>
          <w:rFonts w:ascii="Century" w:hAnsi="Century"/>
          <w:sz w:val="28"/>
          <w:szCs w:val="28"/>
          <w:lang w:val="uk-UA"/>
        </w:rPr>
        <w:t>81500 Львівська область, міст</w:t>
      </w:r>
      <w:r w:rsidR="007649AF" w:rsidRPr="00EF45E1">
        <w:rPr>
          <w:rFonts w:ascii="Century" w:hAnsi="Century"/>
          <w:sz w:val="28"/>
          <w:szCs w:val="28"/>
          <w:lang w:val="uk-UA"/>
        </w:rPr>
        <w:t>о  Городок, вулиця Львівська,1а</w:t>
      </w:r>
    </w:p>
    <w:p w14:paraId="0DDA3F9D" w14:textId="3D98A5F9" w:rsidR="00CD6D5C" w:rsidRPr="00023831" w:rsidRDefault="00EF45E1" w:rsidP="00EF45E1">
      <w:pPr>
        <w:ind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>
        <w:rPr>
          <w:rFonts w:ascii="Century" w:hAnsi="Century" w:cs="Times New Roman"/>
          <w:sz w:val="28"/>
          <w:szCs w:val="28"/>
          <w:lang w:val="uk-UA"/>
        </w:rPr>
        <w:t>5.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Затвердити Статут комунального підприємства «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» 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міської ради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Львівської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області </w:t>
      </w:r>
      <w:r w:rsidR="008D7B32" w:rsidRPr="00023831">
        <w:rPr>
          <w:rFonts w:ascii="Century" w:hAnsi="Century" w:cs="Times New Roman"/>
          <w:color w:val="FF0000"/>
          <w:sz w:val="28"/>
          <w:szCs w:val="28"/>
          <w:lang w:val="uk-UA"/>
        </w:rPr>
        <w:t xml:space="preserve"> 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в новій редакції  (додається).</w:t>
      </w:r>
    </w:p>
    <w:p w14:paraId="6CCCC917" w14:textId="34C4FAFA" w:rsidR="008D7B32" w:rsidRPr="00023831" w:rsidRDefault="007649AF" w:rsidP="003C19B1">
      <w:pPr>
        <w:ind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6</w:t>
      </w:r>
      <w:r w:rsidR="00EF45E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.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Сторону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Городоцька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районна рада» у контракті з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директором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комунального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підприємства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»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Городоцької міської ради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, укладеним між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районною радою та громадян</w:t>
      </w:r>
      <w:r w:rsidR="00CD6D5C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кою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замінити  на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Городоцька міська рада Львівської області</w:t>
      </w:r>
      <w:r w:rsidR="00EF45E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».</w:t>
      </w:r>
    </w:p>
    <w:p w14:paraId="28DA3CFA" w14:textId="6DFAF482" w:rsidR="007649AF" w:rsidRPr="00023831" w:rsidRDefault="00EF45E1" w:rsidP="00EF45E1">
      <w:pPr>
        <w:ind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>
        <w:rPr>
          <w:rFonts w:ascii="Century" w:hAnsi="Century" w:cs="Times New Roman"/>
          <w:sz w:val="28"/>
          <w:szCs w:val="28"/>
          <w:lang w:val="uk-UA"/>
        </w:rPr>
        <w:t>7.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Доручити  </w:t>
      </w:r>
      <w:r w:rsidR="00CD6D5C" w:rsidRPr="00023831">
        <w:rPr>
          <w:rFonts w:ascii="Century" w:hAnsi="Century" w:cs="Times New Roman"/>
          <w:sz w:val="28"/>
          <w:szCs w:val="28"/>
          <w:lang w:val="uk-UA"/>
        </w:rPr>
        <w:t>сектору кадрової роботи та нагород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укласти додаткову угоду щодо внесення змін до контракту з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директором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комунального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підприємства «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бюро»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Городоцької міської ради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Львівської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області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Романів Т.В.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, укладеним між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Городоцькою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районною радою та громадян</w:t>
      </w:r>
      <w:r>
        <w:rPr>
          <w:rFonts w:ascii="Century" w:hAnsi="Century" w:cs="Times New Roman"/>
          <w:sz w:val="28"/>
          <w:szCs w:val="28"/>
          <w:lang w:val="uk-UA"/>
        </w:rPr>
        <w:t xml:space="preserve">кою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стосовно зміни сторони контракту та інших умов.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 xml:space="preserve"> Продовжити </w:t>
      </w:r>
      <w:r w:rsidR="003C19B1" w:rsidRPr="00023831">
        <w:rPr>
          <w:rFonts w:ascii="Century" w:hAnsi="Century" w:cs="Times New Roman"/>
          <w:sz w:val="28"/>
          <w:szCs w:val="28"/>
          <w:lang w:val="uk-UA"/>
        </w:rPr>
        <w:t xml:space="preserve">дію контракту 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 xml:space="preserve">до «31» грудня 2021 року та уповноважити голову Городоцької міської ради підписати </w:t>
      </w:r>
      <w:r w:rsidR="003C19B1" w:rsidRPr="00023831">
        <w:rPr>
          <w:rFonts w:ascii="Century" w:hAnsi="Century" w:cs="Times New Roman"/>
          <w:sz w:val="28"/>
          <w:szCs w:val="28"/>
          <w:lang w:val="uk-UA"/>
        </w:rPr>
        <w:t>додаткову угоду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>.</w:t>
      </w:r>
    </w:p>
    <w:p w14:paraId="1DD732FD" w14:textId="75DA2FAF" w:rsidR="00496BB7" w:rsidRPr="00023831" w:rsidRDefault="00ED1CE8" w:rsidP="003C19B1">
      <w:pPr>
        <w:ind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lastRenderedPageBreak/>
        <w:t>8</w:t>
      </w:r>
      <w:r w:rsidR="00EF45E1">
        <w:rPr>
          <w:rFonts w:ascii="Century" w:hAnsi="Century" w:cs="Times New Roman"/>
          <w:sz w:val="28"/>
          <w:szCs w:val="28"/>
          <w:lang w:val="uk-UA"/>
        </w:rPr>
        <w:t>.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Керівнику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комунального підприємства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«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»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міської ради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 xml:space="preserve">Львівської області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(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Романів Т.В.)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2D55AD" w:rsidRPr="00023831">
        <w:rPr>
          <w:rFonts w:ascii="Century" w:hAnsi="Century" w:cs="Times New Roman"/>
          <w:sz w:val="28"/>
          <w:szCs w:val="28"/>
          <w:lang w:val="uk-UA"/>
        </w:rPr>
        <w:t>по</w:t>
      </w:r>
      <w:r w:rsidR="00C13333" w:rsidRPr="00023831">
        <w:rPr>
          <w:rFonts w:ascii="Century" w:hAnsi="Century" w:cs="Times New Roman"/>
          <w:sz w:val="28"/>
          <w:szCs w:val="28"/>
          <w:lang w:val="uk-UA"/>
        </w:rPr>
        <w:t>дання інформаці</w:t>
      </w:r>
      <w:r w:rsidR="002D55AD" w:rsidRPr="00023831">
        <w:rPr>
          <w:rFonts w:ascii="Century" w:hAnsi="Century" w:cs="Times New Roman"/>
          <w:sz w:val="28"/>
          <w:szCs w:val="28"/>
          <w:lang w:val="uk-UA"/>
        </w:rPr>
        <w:t>ю</w:t>
      </w:r>
      <w:r w:rsidR="00C13333" w:rsidRPr="00023831">
        <w:rPr>
          <w:rFonts w:ascii="Century" w:hAnsi="Century" w:cs="Times New Roman"/>
          <w:sz w:val="28"/>
          <w:szCs w:val="28"/>
          <w:lang w:val="uk-UA"/>
        </w:rPr>
        <w:t xml:space="preserve"> державному реєстратору для здійснення змін з системі державної реєстрації</w:t>
      </w:r>
    </w:p>
    <w:p w14:paraId="70AE4596" w14:textId="3798FE5A" w:rsidR="008D7B32" w:rsidRPr="00023831" w:rsidRDefault="00ED1CE8" w:rsidP="003C19B1">
      <w:pPr>
        <w:ind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9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. Вважати таким що втратило чинність рішення Городоцької міської ради №179 </w:t>
      </w:r>
      <w:r w:rsidR="00567FF1">
        <w:rPr>
          <w:rFonts w:ascii="Century" w:hAnsi="Century" w:cs="Times New Roman"/>
          <w:sz w:val="28"/>
          <w:szCs w:val="28"/>
          <w:lang w:val="uk-UA"/>
        </w:rPr>
        <w:t xml:space="preserve">від 26.01.2021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>«Про прийняття у власність комунальне підприємство «Городоцьке районне архітектурно-планувальне бюро (3308752)</w:t>
      </w:r>
      <w:r w:rsidR="00567FF1">
        <w:rPr>
          <w:rFonts w:ascii="Century" w:hAnsi="Century" w:cs="Times New Roman"/>
          <w:sz w:val="28"/>
          <w:szCs w:val="28"/>
          <w:lang w:val="uk-UA"/>
        </w:rPr>
        <w:t>».</w:t>
      </w:r>
    </w:p>
    <w:p w14:paraId="436F445D" w14:textId="409421E3" w:rsidR="00CB3DDD" w:rsidRPr="00023831" w:rsidRDefault="007649AF" w:rsidP="003C19B1">
      <w:pPr>
        <w:ind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1</w:t>
      </w:r>
      <w:r w:rsidR="00ED1CE8" w:rsidRPr="00023831">
        <w:rPr>
          <w:rFonts w:ascii="Century" w:hAnsi="Century" w:cs="Times New Roman"/>
          <w:sz w:val="28"/>
          <w:szCs w:val="28"/>
          <w:lang w:val="uk-UA"/>
        </w:rPr>
        <w:t>0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. Контроль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за виконанням рішення покласти на постійну комісію </w:t>
      </w:r>
      <w:r w:rsidR="00496BB7" w:rsidRPr="00023831">
        <w:rPr>
          <w:rFonts w:ascii="Century" w:hAnsi="Century" w:cs="Times New Roman"/>
          <w:bCs/>
          <w:sz w:val="28"/>
          <w:szCs w:val="28"/>
          <w:lang w:val="uk-UA"/>
        </w:rPr>
        <w:t>з питань законності, регламенту, депутатської етики, забезпечення діяльності депутатів (</w:t>
      </w:r>
      <w:proofErr w:type="spellStart"/>
      <w:r w:rsidR="00496BB7" w:rsidRPr="00023831">
        <w:rPr>
          <w:rFonts w:ascii="Century" w:hAnsi="Century" w:cs="Times New Roman"/>
          <w:bCs/>
          <w:sz w:val="28"/>
          <w:szCs w:val="28"/>
          <w:lang w:val="uk-UA"/>
        </w:rPr>
        <w:t>гол.О.Карапінка</w:t>
      </w:r>
      <w:proofErr w:type="spellEnd"/>
      <w:r w:rsidR="00496BB7" w:rsidRPr="00023831">
        <w:rPr>
          <w:rFonts w:ascii="Century" w:hAnsi="Century" w:cs="Times New Roman"/>
          <w:bCs/>
          <w:sz w:val="28"/>
          <w:szCs w:val="28"/>
          <w:lang w:val="uk-UA"/>
        </w:rPr>
        <w:t>).</w:t>
      </w:r>
    </w:p>
    <w:p w14:paraId="4F24567A" w14:textId="77777777" w:rsidR="00496557" w:rsidRPr="00023831" w:rsidRDefault="00496557">
      <w:pPr>
        <w:pStyle w:val="12"/>
        <w:spacing w:after="0" w:line="240" w:lineRule="auto"/>
        <w:jc w:val="both"/>
        <w:rPr>
          <w:rFonts w:ascii="Century" w:hAnsi="Century" w:cs="Times New Roman"/>
          <w:bCs/>
          <w:color w:val="000000"/>
          <w:sz w:val="28"/>
          <w:szCs w:val="28"/>
          <w:lang w:val="uk-UA"/>
        </w:rPr>
      </w:pPr>
    </w:p>
    <w:p w14:paraId="401671C5" w14:textId="77777777" w:rsidR="00496557" w:rsidRPr="00023831" w:rsidRDefault="00496557">
      <w:pPr>
        <w:pStyle w:val="12"/>
        <w:spacing w:after="0" w:line="240" w:lineRule="auto"/>
        <w:jc w:val="both"/>
        <w:rPr>
          <w:rFonts w:ascii="Century" w:hAnsi="Century" w:cs="Times New Roman"/>
          <w:bCs/>
          <w:color w:val="000000"/>
          <w:lang w:val="uk-UA"/>
        </w:rPr>
      </w:pPr>
    </w:p>
    <w:p w14:paraId="3817582D" w14:textId="77777777" w:rsidR="00496557" w:rsidRPr="00023831" w:rsidRDefault="00496557">
      <w:pPr>
        <w:pStyle w:val="12"/>
        <w:ind w:left="0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  <w:t xml:space="preserve">Міський голова </w:t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  <w:t>Володимир РЕМЕНЯК</w:t>
      </w:r>
    </w:p>
    <w:p w14:paraId="4EE8C9FD" w14:textId="36B6215D" w:rsidR="00160C80" w:rsidRPr="00023831" w:rsidRDefault="00160C80" w:rsidP="00CE2B8A">
      <w:pPr>
        <w:spacing w:after="0" w:line="240" w:lineRule="auto"/>
        <w:ind w:left="6096"/>
        <w:rPr>
          <w:rFonts w:ascii="Century" w:hAnsi="Century" w:cs="Times New Roman"/>
          <w:b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sz w:val="28"/>
          <w:szCs w:val="28"/>
          <w:lang w:val="uk-UA"/>
        </w:rPr>
        <w:br w:type="page"/>
      </w:r>
      <w:r w:rsidR="00CE2B8A" w:rsidRPr="00023831">
        <w:rPr>
          <w:rFonts w:ascii="Century" w:hAnsi="Century" w:cs="Times New Roman"/>
          <w:b/>
          <w:sz w:val="28"/>
          <w:szCs w:val="28"/>
          <w:lang w:val="uk-UA"/>
        </w:rPr>
        <w:lastRenderedPageBreak/>
        <w:t>ЗАТВЕРДЖЕНО</w:t>
      </w:r>
    </w:p>
    <w:p w14:paraId="042AB6F8" w14:textId="3FD5DEA2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  <w:r w:rsidRPr="00023831">
        <w:rPr>
          <w:rFonts w:ascii="Century" w:hAnsi="Century" w:cs="Times New Roman"/>
          <w:bCs/>
          <w:sz w:val="28"/>
          <w:szCs w:val="28"/>
          <w:lang w:val="uk-UA"/>
        </w:rPr>
        <w:t xml:space="preserve">Рішення сесії Городоцької міської ради № </w:t>
      </w:r>
      <w:r w:rsidR="00567FF1">
        <w:rPr>
          <w:rFonts w:ascii="Century" w:hAnsi="Century" w:cs="Times New Roman"/>
          <w:bCs/>
          <w:sz w:val="28"/>
          <w:szCs w:val="28"/>
          <w:lang w:val="uk-UA"/>
        </w:rPr>
        <w:t>____</w:t>
      </w:r>
      <w:r w:rsidRPr="00023831">
        <w:rPr>
          <w:rFonts w:ascii="Century" w:hAnsi="Century" w:cs="Times New Roman"/>
          <w:bCs/>
          <w:sz w:val="28"/>
          <w:szCs w:val="28"/>
          <w:lang w:val="uk-UA"/>
        </w:rPr>
        <w:t xml:space="preserve"> від </w:t>
      </w:r>
      <w:r w:rsidR="00567FF1">
        <w:rPr>
          <w:rFonts w:ascii="Century" w:hAnsi="Century" w:cs="Times New Roman"/>
          <w:bCs/>
          <w:sz w:val="28"/>
          <w:szCs w:val="28"/>
          <w:lang w:val="uk-UA"/>
        </w:rPr>
        <w:t xml:space="preserve">___ квітня </w:t>
      </w:r>
      <w:bookmarkStart w:id="0" w:name="_GoBack"/>
      <w:bookmarkEnd w:id="0"/>
      <w:r w:rsidRPr="00023831">
        <w:rPr>
          <w:rFonts w:ascii="Century" w:hAnsi="Century" w:cs="Times New Roman"/>
          <w:bCs/>
          <w:sz w:val="28"/>
          <w:szCs w:val="28"/>
          <w:lang w:val="uk-UA"/>
        </w:rPr>
        <w:t>2021р.</w:t>
      </w:r>
    </w:p>
    <w:p w14:paraId="33E1975D" w14:textId="7078AC30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072B2BC" w14:textId="2B3FB588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4623F713" w14:textId="07669042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04B8DA92" w14:textId="42A5B50F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A1FC5C1" w14:textId="5FF27DFD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74D83CEE" w14:textId="26A6777D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5B42C828" w14:textId="2C0586E4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B14A2EE" w14:textId="11BB76F4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5FCF3718" w14:textId="77777777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2E5692E2" w14:textId="4A4DC2D7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24388AAC" w14:textId="77777777" w:rsidR="00CE2B8A" w:rsidRPr="00023831" w:rsidRDefault="00CE2B8A" w:rsidP="00CE2B8A">
      <w:pPr>
        <w:spacing w:after="0" w:line="240" w:lineRule="auto"/>
        <w:ind w:left="6096"/>
        <w:rPr>
          <w:rFonts w:ascii="Century" w:hAnsi="Century"/>
          <w:bCs/>
          <w:sz w:val="28"/>
          <w:szCs w:val="28"/>
          <w:lang w:val="uk-UA"/>
        </w:rPr>
      </w:pPr>
    </w:p>
    <w:p w14:paraId="5399CC92" w14:textId="77777777" w:rsidR="00160C80" w:rsidRPr="00023831" w:rsidRDefault="00160C80" w:rsidP="00160C8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С Т А Т У Т</w:t>
      </w:r>
    </w:p>
    <w:p w14:paraId="4E49D8D3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Комунального підприємства</w:t>
      </w:r>
    </w:p>
    <w:p w14:paraId="3B7821B1" w14:textId="3A360B1D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«Городоцьке архітектурно-планувальне бюро»</w:t>
      </w:r>
    </w:p>
    <w:p w14:paraId="1D48632C" w14:textId="458B1682" w:rsidR="00160C80" w:rsidRPr="00023831" w:rsidRDefault="00C76738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Городоцької міської ради Львівської області</w:t>
      </w:r>
    </w:p>
    <w:p w14:paraId="7D1154AA" w14:textId="2B81865C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30C4DD1" w14:textId="2A120EF6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1D4CA83" w14:textId="77777777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CE9FB1E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3DF3D25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639A044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BC629CB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C3E2976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7C9701A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5DE8649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C8ACEA0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4259E47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235CE94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542D3DE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2D334CA" w14:textId="282CB6C9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66D0FBD" w14:textId="77777777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B9CED57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E4A1923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4"/>
          <w:szCs w:val="24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 xml:space="preserve">м. Городок </w:t>
      </w:r>
    </w:p>
    <w:p w14:paraId="7BB361B3" w14:textId="0B3E245E" w:rsidR="00C76738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2021 р.</w:t>
      </w:r>
    </w:p>
    <w:p w14:paraId="6A05E078" w14:textId="77777777" w:rsidR="00C76738" w:rsidRPr="00023831" w:rsidRDefault="00C76738">
      <w:pPr>
        <w:suppressAutoHyphens w:val="0"/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BB81853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Century" w:hAnsi="Century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lastRenderedPageBreak/>
        <w:t>ЗАГАЛЬНІ ПОЛОЖЕННЯ</w:t>
      </w:r>
    </w:p>
    <w:p w14:paraId="5089EB36" w14:textId="77777777" w:rsidR="00160C80" w:rsidRPr="00023831" w:rsidRDefault="00160C80" w:rsidP="00160C80">
      <w:pPr>
        <w:spacing w:after="0" w:line="240" w:lineRule="auto"/>
        <w:rPr>
          <w:rFonts w:ascii="Century" w:hAnsi="Century"/>
          <w:sz w:val="24"/>
          <w:szCs w:val="24"/>
          <w:lang w:val="uk-UA"/>
        </w:rPr>
      </w:pPr>
    </w:p>
    <w:p w14:paraId="56116642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З метою виконання робіт, пов’язаних з регулюванням забудови населених пунктів, Городоцька міська рада, далі «Засновник», засновує комунальне підприємство «Городоцьке архітектурно - планувальне бюро», далі «Підприємство». Власником підприємства, вона ж являється Засновником, є Городоцька міська рада .</w:t>
      </w:r>
    </w:p>
    <w:p w14:paraId="748CE48A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у своїй діяльності керується Конституцією України, Законами України, постановами Кабінету Міністрів України, указами та розпорядженнями Президента України, розпорядженнями Львівської обласної держадміністрації та рішеннями сесії Городоцької міської ради, нормативно - методичними, інструктивними і директивними документами Держбуду України, наказами  управління будівництва Департаменту архітектури та розвитку містобудування Львівської облдержадміністрації. Виконує свої функції на  території підпорядкованій Городоцькій міській  раді.</w:t>
      </w:r>
    </w:p>
    <w:p w14:paraId="5C2877EB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має статус юридичної особи і набуває його з дня державної реєстрації.</w:t>
      </w:r>
    </w:p>
    <w:p w14:paraId="178D60E5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володіє, користується та розпоряджається належним йому майном, має самостійний баланс, рахунок в банку, кутовий штамп  та інші реквізити юридичної особи.</w:t>
      </w:r>
    </w:p>
    <w:p w14:paraId="25CAE199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діє на принципах самоокупності і самофінансування, господарської самостійності, повністю відповідає за результати  своєї діяльності.</w:t>
      </w:r>
    </w:p>
    <w:p w14:paraId="733D6B18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несе відповідальність по своїх зобов’язаннях в межах належних йому умов на праві власності майна та коштів, на які можуть бути накладені стягнення відповідно до чинного законодавства. Засновник не відповідає по зобов’язаннях Підприємства. Так само, як і Підприємство не відповідає по зобов’язаннях засновника.</w:t>
      </w:r>
    </w:p>
    <w:p w14:paraId="1642609F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Підприємство утворюється на невизначений термін.</w:t>
      </w:r>
    </w:p>
    <w:p w14:paraId="0B8172A1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Найменування підприємства:</w:t>
      </w:r>
    </w:p>
    <w:p w14:paraId="00174D2E" w14:textId="2C532F69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Повна юридична назва – комунальне підприємство «Городоцьке архітектурно – планувальне бюро»</w:t>
      </w:r>
      <w:r w:rsidR="00C76738" w:rsidRPr="00023831">
        <w:rPr>
          <w:rFonts w:ascii="Century" w:hAnsi="Century"/>
          <w:sz w:val="28"/>
          <w:szCs w:val="28"/>
          <w:lang w:val="uk-UA"/>
        </w:rPr>
        <w:t xml:space="preserve"> Городоцької міської ради</w:t>
      </w:r>
      <w:r w:rsidRPr="00023831">
        <w:rPr>
          <w:rFonts w:ascii="Century" w:hAnsi="Century"/>
          <w:sz w:val="28"/>
          <w:szCs w:val="28"/>
          <w:lang w:val="uk-UA"/>
        </w:rPr>
        <w:t xml:space="preserve"> Львівської області.</w:t>
      </w:r>
    </w:p>
    <w:p w14:paraId="18F88427" w14:textId="77777777" w:rsidR="00160C80" w:rsidRPr="00023831" w:rsidRDefault="00160C80" w:rsidP="00160C80">
      <w:pPr>
        <w:spacing w:after="0" w:line="240" w:lineRule="auto"/>
        <w:ind w:firstLine="36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Скорочена назва – КП «ГАПБ».</w:t>
      </w:r>
    </w:p>
    <w:p w14:paraId="10F2869E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 w:cs="Times New Roman"/>
          <w:b/>
          <w:sz w:val="24"/>
          <w:szCs w:val="24"/>
          <w:lang w:val="uk-UA"/>
        </w:rPr>
      </w:pPr>
    </w:p>
    <w:p w14:paraId="4323103E" w14:textId="77777777" w:rsidR="00160C80" w:rsidRPr="00023831" w:rsidRDefault="00160C80" w:rsidP="00160C80">
      <w:pPr>
        <w:pStyle w:val="a7"/>
        <w:numPr>
          <w:ilvl w:val="0"/>
          <w:numId w:val="4"/>
        </w:numPr>
        <w:spacing w:line="240" w:lineRule="auto"/>
        <w:jc w:val="center"/>
        <w:rPr>
          <w:rFonts w:ascii="Century" w:hAnsi="Century"/>
          <w:b/>
          <w:sz w:val="24"/>
          <w:szCs w:val="24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 xml:space="preserve"> МЕТА ТА ОСНОВНІ НАПРЯМКИ ДІЯЛЬНОСТІ</w:t>
      </w:r>
    </w:p>
    <w:p w14:paraId="3332EEB0" w14:textId="77777777" w:rsidR="00160C80" w:rsidRPr="00023831" w:rsidRDefault="00160C80" w:rsidP="00160C80">
      <w:pPr>
        <w:pStyle w:val="a7"/>
        <w:spacing w:line="240" w:lineRule="auto"/>
        <w:rPr>
          <w:rFonts w:ascii="Century" w:hAnsi="Century"/>
          <w:b/>
          <w:sz w:val="24"/>
          <w:szCs w:val="24"/>
          <w:lang w:val="uk-UA"/>
        </w:rPr>
      </w:pPr>
    </w:p>
    <w:p w14:paraId="43FBA73C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Головною метою Підприємства є:</w:t>
      </w:r>
    </w:p>
    <w:p w14:paraId="284B85B6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виконання робіт, пов’язаних з регулюванням забудови населених пунктів і територій.</w:t>
      </w:r>
    </w:p>
    <w:p w14:paraId="74555395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lastRenderedPageBreak/>
        <w:t>Основними напрямками діяльності Підприємства є:</w:t>
      </w:r>
    </w:p>
    <w:p w14:paraId="08746B60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Розроблення містобудівної документації, архітектурне проектування, будівельне проектування та конструювання, проектування інженерних мереж і систем, виготовлення ескізів намірів забудови.</w:t>
      </w:r>
    </w:p>
    <w:p w14:paraId="7547F93E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Збір і обробка інформації щодо ведення містобудівного кадастру населених пунктів та створення архіву містобудівної документації.</w:t>
      </w:r>
    </w:p>
    <w:p w14:paraId="6531C8A4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 xml:space="preserve">Надання </w:t>
      </w:r>
      <w:proofErr w:type="spellStart"/>
      <w:r w:rsidRPr="00023831">
        <w:rPr>
          <w:rFonts w:ascii="Century" w:hAnsi="Century"/>
          <w:sz w:val="28"/>
          <w:szCs w:val="28"/>
          <w:lang w:val="uk-UA"/>
        </w:rPr>
        <w:t>методично</w:t>
      </w:r>
      <w:proofErr w:type="spellEnd"/>
      <w:r w:rsidRPr="00023831">
        <w:rPr>
          <w:rFonts w:ascii="Century" w:hAnsi="Century"/>
          <w:sz w:val="28"/>
          <w:szCs w:val="28"/>
          <w:lang w:val="uk-UA"/>
        </w:rPr>
        <w:t xml:space="preserve"> – консультативної допомоги громадянам та суб’єктам містобудування в підготовці документів з питань забудови, що потребують узгодження або затвердження в установленому порядку.</w:t>
      </w:r>
    </w:p>
    <w:p w14:paraId="41EB2501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Виконання інших видів робіт та надання послуг, що забезпечують управління містобудівним процесом та комплексність забудови та благоустрою населених пунктів з урахуванням сучасних містобудівних вимог.</w:t>
      </w:r>
    </w:p>
    <w:p w14:paraId="74F760A4" w14:textId="77777777" w:rsidR="00160C80" w:rsidRPr="00023831" w:rsidRDefault="00160C80" w:rsidP="00160C80">
      <w:pPr>
        <w:pStyle w:val="a7"/>
        <w:spacing w:line="240" w:lineRule="auto"/>
        <w:ind w:left="1125"/>
        <w:rPr>
          <w:rFonts w:ascii="Century" w:hAnsi="Century"/>
          <w:sz w:val="24"/>
          <w:szCs w:val="24"/>
          <w:lang w:val="uk-UA"/>
        </w:rPr>
      </w:pPr>
    </w:p>
    <w:p w14:paraId="51436625" w14:textId="77777777" w:rsidR="00160C80" w:rsidRPr="00023831" w:rsidRDefault="00160C80" w:rsidP="00160C80">
      <w:pPr>
        <w:pStyle w:val="a7"/>
        <w:numPr>
          <w:ilvl w:val="0"/>
          <w:numId w:val="4"/>
        </w:numPr>
        <w:spacing w:line="240" w:lineRule="auto"/>
        <w:jc w:val="center"/>
        <w:rPr>
          <w:rFonts w:ascii="Century" w:hAnsi="Century"/>
          <w:b/>
          <w:sz w:val="24"/>
          <w:szCs w:val="24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ОРГАНИ УПРАВЛІННЯ</w:t>
      </w:r>
    </w:p>
    <w:p w14:paraId="21B268F1" w14:textId="77777777" w:rsidR="00160C80" w:rsidRPr="00023831" w:rsidRDefault="00160C80" w:rsidP="00160C80">
      <w:pPr>
        <w:pStyle w:val="a7"/>
        <w:spacing w:line="240" w:lineRule="auto"/>
        <w:rPr>
          <w:rFonts w:ascii="Century" w:hAnsi="Century"/>
          <w:b/>
          <w:sz w:val="24"/>
          <w:szCs w:val="24"/>
          <w:lang w:val="uk-UA"/>
        </w:rPr>
      </w:pPr>
    </w:p>
    <w:p w14:paraId="5470B4AD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Управління Підприємством здійснюється директором на підставі поєднання  єдиноначальності із самоуправлінням трудового колективу, забезпечує виконання поточних і перспективних планів Підприємства.</w:t>
      </w:r>
    </w:p>
    <w:p w14:paraId="02D0237F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Директор підприємства призначається засновником і здійснює повноваження на контрактній основі, Директор підприємства:</w:t>
      </w:r>
    </w:p>
    <w:p w14:paraId="05EE8007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Приймає на роботу та звільняє з роботи працівників Підприємства;</w:t>
      </w:r>
    </w:p>
    <w:p w14:paraId="29B24B90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Затверджує його штатний розпис, видає накази, які є обов’язковими для всіх працівників Підприємства:</w:t>
      </w:r>
    </w:p>
    <w:p w14:paraId="38099491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Відкриває рахунки в установах банку, розпоряджається майном Підприємства, включаючи його грошові кошти;</w:t>
      </w:r>
    </w:p>
    <w:p w14:paraId="62955148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Представляє Підприємство в стосунках з юридичними особами та громадянами;</w:t>
      </w:r>
    </w:p>
    <w:p w14:paraId="155C2E25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Укладає від імені Підприємства угоди і забезпечує їх виконання;</w:t>
      </w:r>
    </w:p>
    <w:p w14:paraId="0C630601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Приймає всі інші рішення щодо діяльності Підприємства.</w:t>
      </w:r>
    </w:p>
    <w:p w14:paraId="4DEA0F8E" w14:textId="77777777" w:rsidR="00160C80" w:rsidRPr="00023831" w:rsidRDefault="00160C80" w:rsidP="00160C80">
      <w:pPr>
        <w:pStyle w:val="a7"/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Директор Підприємства несе відповідальність за результати діяльності Підприємства і дотримання вимог Статуту та діючого законодавства.</w:t>
      </w:r>
    </w:p>
    <w:p w14:paraId="2763A775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Засновник Підприємства здійснює свої права по управлінню Підприємством в таких випадках:</w:t>
      </w:r>
    </w:p>
    <w:p w14:paraId="351C0A6C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Внесення змін  та доповнень до Статуту Підприємства;</w:t>
      </w:r>
    </w:p>
    <w:p w14:paraId="0FC89FB0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lastRenderedPageBreak/>
        <w:t>Вирішення питань про реорганізацію та ліквідацію Підприємства в випадках, передбачених даним Статутом;</w:t>
      </w:r>
    </w:p>
    <w:p w14:paraId="1EA2DD3C" w14:textId="77777777" w:rsidR="00160C80" w:rsidRPr="00023831" w:rsidRDefault="00160C80" w:rsidP="00160C80">
      <w:pPr>
        <w:pStyle w:val="a7"/>
        <w:numPr>
          <w:ilvl w:val="0"/>
          <w:numId w:val="5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Контроль за громадсько – фінансовою діяльністю Підприємства.</w:t>
      </w:r>
    </w:p>
    <w:p w14:paraId="690E0669" w14:textId="77777777" w:rsidR="00160C80" w:rsidRPr="00023831" w:rsidRDefault="00160C80" w:rsidP="00160C80">
      <w:pPr>
        <w:pStyle w:val="a7"/>
        <w:numPr>
          <w:ilvl w:val="1"/>
          <w:numId w:val="4"/>
        </w:numPr>
        <w:spacing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Трудовий колектив Підприємства має права та обов’язки передбачені для трудових колективів підприємств. Повноваження трудового колективу реалізуються загальними зборами і Радою трудового колективу, члени якої обираються на загальних зборах трудового колективу строком на 2 роки, не менше 2/3 голосів.</w:t>
      </w:r>
    </w:p>
    <w:p w14:paraId="5A18CC26" w14:textId="77777777" w:rsidR="00160C80" w:rsidRPr="00023831" w:rsidRDefault="00160C80" w:rsidP="00160C80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Інтереси трудового колективу представляє Рада трудового колективу.</w:t>
      </w:r>
    </w:p>
    <w:p w14:paraId="045CBE20" w14:textId="77777777" w:rsidR="00160C80" w:rsidRPr="00023831" w:rsidRDefault="00160C80" w:rsidP="00160C80">
      <w:pPr>
        <w:spacing w:after="0"/>
        <w:rPr>
          <w:rFonts w:ascii="Century" w:hAnsi="Century"/>
          <w:sz w:val="24"/>
          <w:szCs w:val="24"/>
          <w:lang w:val="uk-UA"/>
        </w:rPr>
      </w:pPr>
    </w:p>
    <w:p w14:paraId="74F68FD0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МАЙНО ПІДПРИЄМСТВА</w:t>
      </w:r>
    </w:p>
    <w:p w14:paraId="31F815A0" w14:textId="77777777" w:rsidR="00160C80" w:rsidRPr="00023831" w:rsidRDefault="00160C80" w:rsidP="00160C80">
      <w:pPr>
        <w:pStyle w:val="a7"/>
        <w:spacing w:after="0"/>
        <w:rPr>
          <w:rFonts w:ascii="Century" w:hAnsi="Century"/>
          <w:sz w:val="24"/>
          <w:szCs w:val="24"/>
          <w:lang w:val="uk-UA"/>
        </w:rPr>
      </w:pPr>
    </w:p>
    <w:p w14:paraId="156266BB" w14:textId="76DC82D3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 xml:space="preserve">4.1. Статутний фонд Підприємства становить </w:t>
      </w:r>
      <w:r w:rsidR="00927D44" w:rsidRPr="00023831">
        <w:rPr>
          <w:rFonts w:ascii="Century" w:hAnsi="Century"/>
          <w:sz w:val="28"/>
          <w:szCs w:val="28"/>
          <w:lang w:val="uk-UA"/>
        </w:rPr>
        <w:t>10 00</w:t>
      </w:r>
      <w:r w:rsidRPr="00023831">
        <w:rPr>
          <w:rFonts w:ascii="Century" w:hAnsi="Century"/>
          <w:sz w:val="28"/>
          <w:szCs w:val="28"/>
          <w:lang w:val="uk-UA"/>
        </w:rPr>
        <w:t>0 (</w:t>
      </w:r>
      <w:r w:rsidR="00927D44" w:rsidRPr="00023831">
        <w:rPr>
          <w:rFonts w:ascii="Century" w:hAnsi="Century"/>
          <w:sz w:val="28"/>
          <w:szCs w:val="28"/>
          <w:lang w:val="uk-UA"/>
        </w:rPr>
        <w:t>десять тисяч грн. 00 коп.</w:t>
      </w:r>
      <w:r w:rsidRPr="00023831">
        <w:rPr>
          <w:rFonts w:ascii="Century" w:hAnsi="Century"/>
          <w:sz w:val="28"/>
          <w:szCs w:val="28"/>
          <w:lang w:val="uk-UA"/>
        </w:rPr>
        <w:t xml:space="preserve">) грн. 00 копійок. </w:t>
      </w:r>
    </w:p>
    <w:p w14:paraId="7B0BD1F9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4.2. Майно Підприємства складається з основних та оборотних фондів, документального фонду, інших цінностей та коштів, що відображаються на самостійному балансі.</w:t>
      </w:r>
    </w:p>
    <w:p w14:paraId="0F832696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Власником майна Підприємства є Городоцька міська рада.</w:t>
      </w:r>
    </w:p>
    <w:p w14:paraId="356BF5FA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4.3. Джерела формування майна Підприємства:</w:t>
      </w:r>
    </w:p>
    <w:p w14:paraId="09C8351E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грошові та матеріальні кошти власника;</w:t>
      </w:r>
    </w:p>
    <w:p w14:paraId="60AA6356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прибутки від усіх видів власності ;</w:t>
      </w:r>
    </w:p>
    <w:p w14:paraId="03B1D73A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кредити банків;</w:t>
      </w:r>
    </w:p>
    <w:p w14:paraId="589A7EA5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оригінали технічних документів, що виготовляються бюро;</w:t>
      </w:r>
    </w:p>
    <w:p w14:paraId="39F97115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інші джерела не заборонені чинним законодавством України</w:t>
      </w:r>
    </w:p>
    <w:p w14:paraId="3174171C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4.4. Головним узагальнюючим показником господарсько-фінансової діяльності Підприємства є прибуток Підприємства. Прибуток становить сума, яка отримана від оплати замовником робіт і надання послуг, за відрахуванням всіх матеріальних витрат. З прибутку Підприємство робить обов’язкові відрахування . сплачує податки та платежі в бюджет.</w:t>
      </w:r>
    </w:p>
    <w:p w14:paraId="4DA756E7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4.5. Прибуток, що залишається у Підприємства після сплати податків та інших платежів в бюджет надходить в повне розпорядження Підприємства.</w:t>
      </w:r>
    </w:p>
    <w:p w14:paraId="27BDAB92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4.6. Не використані в поточному місяці кошти переносяться на наступний рік і вилученню не підлягають.</w:t>
      </w:r>
    </w:p>
    <w:p w14:paraId="326BB6BD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lastRenderedPageBreak/>
        <w:t>4.7. Підприємство несе відповідальність по своїх зобов’язаннях всім належним йому майном та коштами, на які в установленому порядку може бути накладене стягнення.</w:t>
      </w:r>
    </w:p>
    <w:p w14:paraId="694E3B10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4.8. Власник не відповідає за зобов'язання Підприємства, крім випадків. передбачених законодавством.</w:t>
      </w:r>
    </w:p>
    <w:p w14:paraId="793CBCCF" w14:textId="77777777" w:rsidR="00160C80" w:rsidRPr="00023831" w:rsidRDefault="00160C80" w:rsidP="00160C80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2A2455E6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ОБЛІК І ЗВІТНІТЬ</w:t>
      </w:r>
    </w:p>
    <w:p w14:paraId="4F002668" w14:textId="77777777" w:rsidR="00160C80" w:rsidRPr="00023831" w:rsidRDefault="00160C80" w:rsidP="00160C80">
      <w:pPr>
        <w:pStyle w:val="a7"/>
        <w:spacing w:after="0" w:line="240" w:lineRule="auto"/>
        <w:rPr>
          <w:rFonts w:ascii="Century" w:hAnsi="Century"/>
          <w:sz w:val="24"/>
          <w:szCs w:val="24"/>
          <w:lang w:val="uk-UA"/>
        </w:rPr>
      </w:pPr>
    </w:p>
    <w:p w14:paraId="53CE330E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5.1. Підприємство веде оперативний та бухгалтерський облік результатів своєї роботи в порядку, передбаченому законодавством і несе відповідальність за його достовірність.</w:t>
      </w:r>
    </w:p>
    <w:p w14:paraId="288980AC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5.2. Підприємство складає статистичну звітність згідно форм, встановлених державними органами.</w:t>
      </w:r>
    </w:p>
    <w:p w14:paraId="3E19FF21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5.3. Підприємство щоквартально подає звіти міській раді про фінансово-господарську діяльність.</w:t>
      </w:r>
    </w:p>
    <w:p w14:paraId="065D7B1F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4B48F77A" w14:textId="77777777" w:rsidR="00160C80" w:rsidRPr="00023831" w:rsidRDefault="00160C80" w:rsidP="00160C80">
      <w:pPr>
        <w:pStyle w:val="a7"/>
        <w:numPr>
          <w:ilvl w:val="0"/>
          <w:numId w:val="4"/>
        </w:numPr>
        <w:spacing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ВИРОБНИЧО-ГОСПОДАРСЬКА ДІЯЛЬНІСТЬ</w:t>
      </w:r>
    </w:p>
    <w:p w14:paraId="494AEB65" w14:textId="77777777" w:rsidR="00160C80" w:rsidRPr="00023831" w:rsidRDefault="00160C80" w:rsidP="00160C80">
      <w:pPr>
        <w:pStyle w:val="a7"/>
        <w:spacing w:after="0" w:line="240" w:lineRule="auto"/>
        <w:rPr>
          <w:rFonts w:ascii="Century" w:hAnsi="Century"/>
          <w:sz w:val="24"/>
          <w:szCs w:val="24"/>
          <w:lang w:val="uk-UA"/>
        </w:rPr>
      </w:pPr>
    </w:p>
    <w:p w14:paraId="5A3566FE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6.1. Підприємство виконує роботи (надає послуги) згідно з укладеними із замовником угодами.</w:t>
      </w:r>
    </w:p>
    <w:p w14:paraId="4DBD0E4A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6.2. При здійсненні діяльності, що потребує ліцензії, такі роботи можуть проводитись при наявності ліцензії, отриманої ц встановленому порядку.</w:t>
      </w:r>
    </w:p>
    <w:p w14:paraId="68DA1BED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6.3. Для виконання окремих видів робіт. нагляду за якістю будівельної продукції та надання інших послуг, Підприємство може створювати тимчасові творчі колективи, залучати до роботи на договірних засадах необхідних спеціалістів.</w:t>
      </w:r>
    </w:p>
    <w:p w14:paraId="126E3448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6.4. Підприємство в процесі покладених на нього завдань взаємодіє з органами місцевого самоврядування, підприємствами, установами та організаціями, а також об'єднаннями громадян.</w:t>
      </w:r>
    </w:p>
    <w:p w14:paraId="28D87830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13878E99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МАТЕРІАЛЬНО-ТЕХНІЧНЕ ЗАБЕЗПЕЧЕННЯ</w:t>
      </w:r>
    </w:p>
    <w:p w14:paraId="52765028" w14:textId="77777777" w:rsidR="00160C80" w:rsidRPr="00023831" w:rsidRDefault="00160C80" w:rsidP="00160C80">
      <w:pPr>
        <w:pStyle w:val="a7"/>
        <w:spacing w:after="0" w:line="240" w:lineRule="auto"/>
        <w:rPr>
          <w:rFonts w:ascii="Century" w:hAnsi="Century"/>
          <w:b/>
          <w:sz w:val="24"/>
          <w:szCs w:val="24"/>
          <w:lang w:val="uk-UA"/>
        </w:rPr>
      </w:pPr>
    </w:p>
    <w:p w14:paraId="1FEE00CD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7.1. Матеріально-технічне забезпечення здійснюється Підприємством самостійно.</w:t>
      </w:r>
    </w:p>
    <w:p w14:paraId="08A16C07" w14:textId="78282E1A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7.2. Підприємство може отримувати або орендувати приміщення, автотранспорт для виконання виробничих завдань, необхідне технічне обладнання, яке забезпечує скорочення тривалості підвищення якості виконання робіт, забезпечує якість та ефективність  прийнятих рішень.</w:t>
      </w:r>
    </w:p>
    <w:p w14:paraId="387D9D26" w14:textId="46027E77" w:rsidR="003406CC" w:rsidRPr="00023831" w:rsidRDefault="003406CC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</w:p>
    <w:p w14:paraId="68BA75E4" w14:textId="281D4ECE" w:rsidR="003406CC" w:rsidRPr="00023831" w:rsidRDefault="003406CC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</w:p>
    <w:p w14:paraId="33B9FAD2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00D81F90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lastRenderedPageBreak/>
        <w:t>ТРУДОВИЙ КОЛЕКТИВ</w:t>
      </w:r>
    </w:p>
    <w:p w14:paraId="7E3F7F8C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sz w:val="24"/>
          <w:szCs w:val="24"/>
          <w:lang w:val="uk-UA"/>
        </w:rPr>
      </w:pPr>
    </w:p>
    <w:p w14:paraId="650D0C74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8.1. Виробничі, трудові та економічні відносини трудового колективу з адміністрацією Підприємства, питання охорони праці, соціального розвитку регулюються колективним договором. Суперечності, що виникають при укладанні та виконанні  колективного договору, вирішуються в порядку, встановленому законодавством України.</w:t>
      </w:r>
    </w:p>
    <w:p w14:paraId="40A3A76A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8.2. При укладанні трудового договору (контракту, угоди) директор Підприємства зобов’язаний забезпечити умови по охороні праці, її оплату не нижче встановленого в державі мінімального рівня, а також інші соціальні гарантії.</w:t>
      </w:r>
    </w:p>
    <w:p w14:paraId="615A6F36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6569656C" w14:textId="77777777" w:rsidR="00160C80" w:rsidRPr="00023831" w:rsidRDefault="00160C80" w:rsidP="00160C80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ЛІКВІДАЦІЯ, РЕОРГАНІЗАЦІЯ ПІДПРИЄМСТВА</w:t>
      </w:r>
    </w:p>
    <w:p w14:paraId="1764D546" w14:textId="77777777" w:rsidR="00160C80" w:rsidRPr="00023831" w:rsidRDefault="00160C80" w:rsidP="00160C80">
      <w:pPr>
        <w:pStyle w:val="a7"/>
        <w:spacing w:after="0" w:line="240" w:lineRule="auto"/>
        <w:rPr>
          <w:rFonts w:ascii="Century" w:hAnsi="Century"/>
          <w:sz w:val="24"/>
          <w:szCs w:val="24"/>
          <w:lang w:val="uk-UA"/>
        </w:rPr>
      </w:pPr>
    </w:p>
    <w:p w14:paraId="1256ADA2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9.1. Ліквідація та реорганізація Підприємства може бути проведена рішенням Засновника у випадках:</w:t>
      </w:r>
    </w:p>
    <w:p w14:paraId="224FD31B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збитковості Підприємства чи визнання його банкрутом;</w:t>
      </w:r>
    </w:p>
    <w:p w14:paraId="6B626F93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- на інших підставах, передбачених діючим законодавством</w:t>
      </w:r>
    </w:p>
    <w:p w14:paraId="3A5F4028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9.2. У випадках ліквідації Підприємства Засновником створюється ліквідаційна комісія, до складу якої входять представники Засновника та Підприємства.</w:t>
      </w:r>
    </w:p>
    <w:p w14:paraId="732D0BC8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9.3. Порядок та термін проведення ліквідації визначаються згідно до Закону України « Про підприємства в Україні» та чинного законодавства.</w:t>
      </w:r>
    </w:p>
    <w:p w14:paraId="2229DBEA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9.4. При реорганізації Підприємства вносяться відповідні зміни в його установчі документи та реєстр державної реєстрації, при ліквідації – відповідний запис в державний реєстр.</w:t>
      </w:r>
    </w:p>
    <w:p w14:paraId="3AE654FC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9.5. Майно, що залишилося після розрахунків з кредиторами та членами трудового колективу, переходять Замовнику.</w:t>
      </w:r>
    </w:p>
    <w:p w14:paraId="31570B22" w14:textId="77777777" w:rsidR="00160C80" w:rsidRPr="00023831" w:rsidRDefault="00160C80" w:rsidP="00160C80">
      <w:pPr>
        <w:spacing w:after="0"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</w:p>
    <w:p w14:paraId="7352EB0B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10. ВНЕСЕННЯ ЗМІН ДО СТАТУТУ</w:t>
      </w:r>
    </w:p>
    <w:p w14:paraId="4F100114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4"/>
          <w:szCs w:val="24"/>
          <w:lang w:val="uk-UA"/>
        </w:rPr>
      </w:pPr>
    </w:p>
    <w:p w14:paraId="34062E50" w14:textId="77777777" w:rsidR="00160C80" w:rsidRPr="00023831" w:rsidRDefault="00160C80" w:rsidP="00160C80">
      <w:pPr>
        <w:spacing w:line="240" w:lineRule="auto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sz w:val="28"/>
          <w:szCs w:val="28"/>
          <w:lang w:val="uk-UA"/>
        </w:rPr>
        <w:t>Зміни та доповнення вносяться до статуту за згодою Засновника та реєструється в Городоцькій міській раді.</w:t>
      </w:r>
    </w:p>
    <w:p w14:paraId="6C2B88EE" w14:textId="77777777" w:rsidR="00160C80" w:rsidRPr="00023831" w:rsidRDefault="00160C80">
      <w:pPr>
        <w:pStyle w:val="12"/>
        <w:ind w:left="0"/>
        <w:jc w:val="both"/>
        <w:rPr>
          <w:rFonts w:ascii="Century" w:hAnsi="Century"/>
          <w:lang w:val="uk-UA"/>
        </w:rPr>
      </w:pPr>
    </w:p>
    <w:p w14:paraId="5D30F271" w14:textId="77777777" w:rsidR="00553D1D" w:rsidRPr="00023831" w:rsidRDefault="00553D1D">
      <w:pPr>
        <w:pStyle w:val="12"/>
        <w:ind w:left="0"/>
        <w:jc w:val="both"/>
        <w:rPr>
          <w:rFonts w:ascii="Century" w:hAnsi="Century"/>
          <w:lang w:val="uk-UA"/>
        </w:rPr>
      </w:pPr>
    </w:p>
    <w:p w14:paraId="39D1CD1E" w14:textId="77777777" w:rsidR="00553D1D" w:rsidRPr="00023831" w:rsidRDefault="00553D1D" w:rsidP="00CF6865">
      <w:pPr>
        <w:pStyle w:val="12"/>
        <w:ind w:left="0" w:firstLine="567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023831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</w:r>
      <w:r w:rsidRPr="00023831">
        <w:rPr>
          <w:rFonts w:ascii="Century" w:hAnsi="Century"/>
          <w:b/>
          <w:bCs/>
          <w:sz w:val="28"/>
          <w:szCs w:val="28"/>
          <w:lang w:val="uk-UA"/>
        </w:rPr>
        <w:tab/>
        <w:t>Микола ЛУПІЙ</w:t>
      </w:r>
    </w:p>
    <w:sectPr w:rsidR="00553D1D" w:rsidRPr="00023831" w:rsidSect="00BF4B72">
      <w:pgSz w:w="11906" w:h="16838"/>
      <w:pgMar w:top="1134" w:right="680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B4E2CF40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208" w:firstLine="76"/>
      </w:pPr>
      <w:rPr>
        <w:rFonts w:ascii="Century" w:hAnsi="Century" w:cs="Times New Roman" w:hint="default"/>
        <w:sz w:val="28"/>
        <w:szCs w:val="28"/>
        <w:lang w:val="uk-UA"/>
      </w:rPr>
    </w:lvl>
  </w:abstractNum>
  <w:abstractNum w:abstractNumId="1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D8B3B64"/>
    <w:multiLevelType w:val="multilevel"/>
    <w:tmpl w:val="0610F1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>
    <w:nsid w:val="560B27A4"/>
    <w:multiLevelType w:val="multilevel"/>
    <w:tmpl w:val="FB1603D8"/>
    <w:lvl w:ilvl="0">
      <w:start w:val="2"/>
      <w:numFmt w:val="bullet"/>
      <w:lvlText w:val="-"/>
      <w:lvlJc w:val="left"/>
      <w:pPr>
        <w:ind w:left="1125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abstractNum w:abstractNumId="5">
    <w:nsid w:val="719B1083"/>
    <w:multiLevelType w:val="hybridMultilevel"/>
    <w:tmpl w:val="96942708"/>
    <w:lvl w:ilvl="0" w:tplc="96500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3060EE9"/>
    <w:multiLevelType w:val="hybridMultilevel"/>
    <w:tmpl w:val="EB3016F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99"/>
    <w:rsid w:val="00023831"/>
    <w:rsid w:val="0008315B"/>
    <w:rsid w:val="000B1599"/>
    <w:rsid w:val="000E4CB8"/>
    <w:rsid w:val="00160C80"/>
    <w:rsid w:val="001B74D8"/>
    <w:rsid w:val="001D65FE"/>
    <w:rsid w:val="002D55AD"/>
    <w:rsid w:val="003406CC"/>
    <w:rsid w:val="00354178"/>
    <w:rsid w:val="003C19B1"/>
    <w:rsid w:val="00496557"/>
    <w:rsid w:val="00496BB7"/>
    <w:rsid w:val="004B770D"/>
    <w:rsid w:val="00553D1D"/>
    <w:rsid w:val="00567FF1"/>
    <w:rsid w:val="005773AC"/>
    <w:rsid w:val="005D2079"/>
    <w:rsid w:val="00615BC0"/>
    <w:rsid w:val="00667D71"/>
    <w:rsid w:val="007649AF"/>
    <w:rsid w:val="0088649D"/>
    <w:rsid w:val="008D7B32"/>
    <w:rsid w:val="00927D44"/>
    <w:rsid w:val="009D2870"/>
    <w:rsid w:val="00A71D2E"/>
    <w:rsid w:val="00B2093D"/>
    <w:rsid w:val="00BF4B72"/>
    <w:rsid w:val="00C12652"/>
    <w:rsid w:val="00C13333"/>
    <w:rsid w:val="00C21101"/>
    <w:rsid w:val="00C364F7"/>
    <w:rsid w:val="00C76738"/>
    <w:rsid w:val="00CB3DDD"/>
    <w:rsid w:val="00CD6D5C"/>
    <w:rsid w:val="00CE2B8A"/>
    <w:rsid w:val="00CF6865"/>
    <w:rsid w:val="00ED1CE8"/>
    <w:rsid w:val="00EF45E1"/>
    <w:rsid w:val="00FE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98105"/>
  <w15:docId w15:val="{2BC99E17-0F3D-4FCB-8DE0-9BC13F6B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2z0">
    <w:name w:val="WW8Num2z0"/>
    <w:rPr>
      <w:rFonts w:ascii="Times New Roman" w:hAnsi="Times New Roman" w:cs="Times New Roman" w:hint="default"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12">
    <w:name w:val="Абзац списку1"/>
    <w:basedOn w:val="a"/>
    <w:pPr>
      <w:ind w:left="720"/>
    </w:pPr>
  </w:style>
  <w:style w:type="paragraph" w:customStyle="1" w:styleId="tc2">
    <w:name w:val="tc2"/>
    <w:basedOn w:val="a"/>
    <w:uiPriority w:val="99"/>
    <w:pPr>
      <w:spacing w:after="0" w:line="300" w:lineRule="atLeast"/>
      <w:jc w:val="center"/>
    </w:pPr>
    <w:rPr>
      <w:rFonts w:cs="Times New Roman"/>
      <w:sz w:val="24"/>
      <w:szCs w:val="24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0C80"/>
    <w:pPr>
      <w:suppressAutoHyphens w:val="0"/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8310</Words>
  <Characters>4738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Пользователь Windows</cp:lastModifiedBy>
  <cp:revision>9</cp:revision>
  <cp:lastPrinted>2021-02-15T14:28:00Z</cp:lastPrinted>
  <dcterms:created xsi:type="dcterms:W3CDTF">2021-04-05T12:54:00Z</dcterms:created>
  <dcterms:modified xsi:type="dcterms:W3CDTF">2021-04-12T07:12:00Z</dcterms:modified>
</cp:coreProperties>
</file>